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49E21">
      <w:pPr>
        <w:spacing w:line="360" w:lineRule="auto"/>
        <w:jc w:val="left"/>
        <w:outlineLvl w:val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lang w:val="en-US" w:eastAsia="zh-CN"/>
        </w:rPr>
        <w:t>附件</w:t>
      </w:r>
    </w:p>
    <w:p w14:paraId="6CD1A5C8">
      <w:pPr>
        <w:spacing w:line="360" w:lineRule="auto"/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28"/>
          <w:highlight w:val="none"/>
        </w:rPr>
        <w:t>评分标准</w:t>
      </w:r>
    </w:p>
    <w:tbl>
      <w:tblPr>
        <w:tblStyle w:val="2"/>
        <w:tblW w:w="89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172"/>
        <w:gridCol w:w="1299"/>
        <w:gridCol w:w="5721"/>
      </w:tblGrid>
      <w:tr w14:paraId="724D3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07ACDD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A6E031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19729EE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细则分类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B4BF8F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6896F5A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细则内容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2AA003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评审</w:t>
            </w:r>
          </w:p>
          <w:p w14:paraId="537EC73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细则说明</w:t>
            </w:r>
          </w:p>
        </w:tc>
      </w:tr>
      <w:tr w14:paraId="206DF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55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2A28CD2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9D3A56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价格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6AEC18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报价分</w:t>
            </w:r>
          </w:p>
          <w:p w14:paraId="50399F2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（30分）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F5FC473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供应商有效报价下浮1% 得基本分1分，在此基础上，每多下浮 1%加1分，分数加满为止，满分30分。注：评审委员会对明显低于市场合理成本的报价，有权要求报价人说明成本合理性，无法合理解释可酌情扣减本项得分。</w:t>
            </w:r>
          </w:p>
        </w:tc>
      </w:tr>
      <w:tr w14:paraId="56B9D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755" w:type="dxa"/>
            <w:vMerge w:val="restart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184E60F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bookmarkStart w:id="0" w:name="_Hlk513558907"/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1172" w:type="dxa"/>
            <w:vMerge w:val="restart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24E5131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技术方案评审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F204D8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招标代理服务方案</w:t>
            </w:r>
          </w:p>
          <w:p w14:paraId="51B122F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20分)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10A7992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1.招标代理工作方案详细、针对性强、内容具体、能充分体现项目招标特点的得16一20分;</w:t>
            </w:r>
          </w:p>
          <w:p w14:paraId="0EED188F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2.能提供招标代理工作方案、内容基本完整，针对性一般的得10一15分;</w:t>
            </w:r>
          </w:p>
          <w:p w14:paraId="3E4CB898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3.招标代理工作方案内容不完整，过于简单地得1一9分:</w:t>
            </w:r>
          </w:p>
          <w:p w14:paraId="75047766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4.未提供招标代理工作方案或方案有重大错误的不得分。</w:t>
            </w:r>
          </w:p>
        </w:tc>
      </w:tr>
      <w:tr w14:paraId="109D9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6A8B93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05572C7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1392B98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招标代理服务质量承诺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15分)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3ECE393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招标代理服务质量承诺满足招标人要求的得13-15分；</w:t>
            </w:r>
          </w:p>
          <w:p w14:paraId="153EAD54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招标代理服务质量承诺基本满足招标人要求，但不具体的得9-12分；</w:t>
            </w:r>
          </w:p>
          <w:p w14:paraId="79E00396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3.招标代理服务质量承诺有具体承诺，但偏差较大的得0-8分；</w:t>
            </w:r>
          </w:p>
        </w:tc>
      </w:tr>
      <w:tr w14:paraId="0D8FA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9A76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FA26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68067E6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工作时限承诺</w:t>
            </w:r>
          </w:p>
          <w:p w14:paraId="4CC4388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15分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5837CF7C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工作时限承诺满足招标人要求，且具体、针对性强的得13-15分；</w:t>
            </w:r>
          </w:p>
          <w:p w14:paraId="2059055E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2、工作时限承诺基本满足招标人要求，但不具体的得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9-12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分；</w:t>
            </w:r>
          </w:p>
          <w:p w14:paraId="2D8C40BC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3、工作时限承诺不具体，无针对性的得</w:t>
            </w: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0-8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分。</w:t>
            </w:r>
          </w:p>
        </w:tc>
      </w:tr>
      <w:tr w14:paraId="1886B2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D44D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0C8BC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369310D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</w:p>
          <w:p w14:paraId="0E512FA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3F6A2AFB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满足招标人要求，且具体、针对性强的得7-10分；</w:t>
            </w:r>
          </w:p>
          <w:p w14:paraId="189B245A"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基本满足招标人要求，但不具体的得1-6分；</w:t>
            </w:r>
          </w:p>
          <w:p w14:paraId="66425FB8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成果资料质量承诺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不具体，无针对性的不得分。</w:t>
            </w:r>
          </w:p>
        </w:tc>
      </w:tr>
      <w:bookmarkEnd w:id="0"/>
      <w:tr w14:paraId="4B313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755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1A7EA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17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E9A699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4FC10E3C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企业业绩</w:t>
            </w:r>
          </w:p>
          <w:p w14:paraId="004E9574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（10分）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1E6112EA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highlight w:val="none"/>
                <w:lang w:val="en-US" w:eastAsia="zh-CN"/>
              </w:rPr>
              <w:t>2023年至今，提供1个招标代理服务业绩的得5分，每增加一项类似业绩加3分，加满为止。（提供代理合同或第三方证明材料）。</w:t>
            </w:r>
          </w:p>
        </w:tc>
      </w:tr>
      <w:tr w14:paraId="0D2C0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1927" w:type="dxa"/>
            <w:gridSpan w:val="2"/>
            <w:tcBorders>
              <w:tl2br w:val="nil"/>
              <w:tr2bl w:val="nil"/>
            </w:tcBorders>
            <w:shd w:val="solid" w:color="FFFFFF" w:fill="auto"/>
            <w:vAlign w:val="center"/>
          </w:tcPr>
          <w:p w14:paraId="51D7511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  <w:t>合  计</w:t>
            </w:r>
          </w:p>
        </w:tc>
        <w:tc>
          <w:tcPr>
            <w:tcW w:w="1299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3CC64A6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  <w:lang w:val="en-US" w:eastAsia="zh-CN"/>
              </w:rPr>
              <w:t>100分</w:t>
            </w:r>
          </w:p>
        </w:tc>
        <w:tc>
          <w:tcPr>
            <w:tcW w:w="5721" w:type="dxa"/>
            <w:tcBorders>
              <w:tl2br w:val="nil"/>
              <w:tr2bl w:val="nil"/>
            </w:tcBorders>
            <w:shd w:val="solid" w:color="FFFFFF" w:fill="auto"/>
            <w:vAlign w:val="top"/>
          </w:tcPr>
          <w:p w14:paraId="34FA998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  <w:highlight w:val="none"/>
              </w:rPr>
            </w:pPr>
          </w:p>
        </w:tc>
      </w:tr>
    </w:tbl>
    <w:p w14:paraId="0C2ABC11">
      <w:pPr>
        <w:rPr>
          <w:rFonts w:hint="eastAsia" w:ascii="仿宋_GB2312" w:hAnsi="宋体" w:eastAsia="仿宋_GB2312" w:cstheme="minorBidi"/>
          <w:kern w:val="0"/>
          <w:sz w:val="32"/>
          <w:szCs w:val="32"/>
          <w:lang w:val="en-US" w:eastAsia="zh-CN" w:bidi="ar"/>
        </w:rPr>
      </w:pPr>
    </w:p>
    <w:p w14:paraId="02E869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5F3248"/>
    <w:multiLevelType w:val="singleLevel"/>
    <w:tmpl w:val="FE5F324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C6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2026-10-13T00:54:33Z</dcterms:created>
  <dc:creator>gym77</dc:creator>
  <cp:lastModifiedBy>陶娜</cp:lastModifiedBy>
  <dcterms:modified xsi:type="dcterms:W3CDTF">2026-10-13T00:54:43Z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eyJoZGlkIjoiZjcxNWZmNjVkZWFkMDRhNDk3NDMyZGY0N2M1YWU2YjUiLCJ1c2VySWQiOiIxMjQyMDgxMDAyIn0=</vt:lpwstr>
  </property>
  <property fmtid="{D5CDD505-2E9C-101B-9397-08002B2CF9AE}" pid="4" name="ICV">
    <vt:lpwstr>9C3AE39CB124476A92C8353B179D0F36_12</vt:lpwstr>
  </property>
</Properties>
</file>