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78C31">
      <w:pPr>
        <w:rPr>
          <w:rFonts w:hint="eastAsia"/>
          <w:sz w:val="24"/>
          <w:szCs w:val="32"/>
          <w:lang w:val="en-US" w:eastAsia="zh-CN"/>
        </w:rPr>
      </w:pPr>
      <w:bookmarkStart w:id="0" w:name="_GoBack"/>
      <w:r>
        <w:rPr>
          <w:rFonts w:hint="eastAsia"/>
          <w:sz w:val="24"/>
          <w:szCs w:val="32"/>
          <w:lang w:val="en-US" w:eastAsia="zh-CN"/>
        </w:rPr>
        <w:t>附件：评分标准</w:t>
      </w:r>
    </w:p>
    <w:bookmarkEnd w:id="0"/>
    <w:p w14:paraId="365E4081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980"/>
        <w:gridCol w:w="1170"/>
        <w:gridCol w:w="4096"/>
      </w:tblGrid>
      <w:tr w14:paraId="78BC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noWrap w:val="0"/>
            <w:vAlign w:val="top"/>
          </w:tcPr>
          <w:p w14:paraId="758A53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维度</w:t>
            </w:r>
          </w:p>
        </w:tc>
        <w:tc>
          <w:tcPr>
            <w:tcW w:w="1980" w:type="dxa"/>
            <w:noWrap w:val="0"/>
            <w:vAlign w:val="top"/>
          </w:tcPr>
          <w:p w14:paraId="4E068A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评分项</w:t>
            </w:r>
          </w:p>
        </w:tc>
        <w:tc>
          <w:tcPr>
            <w:tcW w:w="1170" w:type="dxa"/>
            <w:noWrap w:val="0"/>
            <w:vAlign w:val="top"/>
          </w:tcPr>
          <w:p w14:paraId="58F721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分值</w:t>
            </w:r>
          </w:p>
        </w:tc>
        <w:tc>
          <w:tcPr>
            <w:tcW w:w="4096" w:type="dxa"/>
            <w:noWrap w:val="0"/>
            <w:vAlign w:val="top"/>
          </w:tcPr>
          <w:p w14:paraId="63164C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评分细则</w:t>
            </w:r>
          </w:p>
        </w:tc>
      </w:tr>
      <w:tr w14:paraId="6DD5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1276" w:type="dxa"/>
            <w:noWrap w:val="0"/>
            <w:vAlign w:val="center"/>
          </w:tcPr>
          <w:p w14:paraId="564BDD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产品报价</w:t>
            </w:r>
          </w:p>
          <w:p w14:paraId="57582B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（10分）</w:t>
            </w:r>
          </w:p>
        </w:tc>
        <w:tc>
          <w:tcPr>
            <w:tcW w:w="1980" w:type="dxa"/>
            <w:noWrap w:val="0"/>
            <w:vAlign w:val="center"/>
          </w:tcPr>
          <w:p w14:paraId="46B933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受托管理费</w:t>
            </w:r>
          </w:p>
          <w:p w14:paraId="18D11C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4F9045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4096" w:type="dxa"/>
            <w:noWrap w:val="0"/>
            <w:vAlign w:val="center"/>
          </w:tcPr>
          <w:p w14:paraId="60A92C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以满足询比文件要求且报价最低的有效报价为基准价，得满分10分；其他有效报价得分=（基准价÷投标报价）×10，保留2位小数。报价须遵循政策法规及企业年金管理行业自律公约相关规定。</w:t>
            </w:r>
          </w:p>
        </w:tc>
      </w:tr>
      <w:tr w14:paraId="2700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noWrap w:val="0"/>
            <w:vAlign w:val="center"/>
          </w:tcPr>
          <w:p w14:paraId="5E09F5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综合实力</w:t>
            </w:r>
          </w:p>
          <w:p w14:paraId="54F9EA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（15分）</w:t>
            </w:r>
          </w:p>
        </w:tc>
        <w:tc>
          <w:tcPr>
            <w:tcW w:w="1980" w:type="dxa"/>
            <w:noWrap w:val="0"/>
            <w:vAlign w:val="center"/>
          </w:tcPr>
          <w:p w14:paraId="39B930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注册资本</w:t>
            </w:r>
          </w:p>
        </w:tc>
        <w:tc>
          <w:tcPr>
            <w:tcW w:w="1170" w:type="dxa"/>
            <w:noWrap w:val="0"/>
            <w:vAlign w:val="center"/>
          </w:tcPr>
          <w:p w14:paraId="6C26E4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096" w:type="dxa"/>
            <w:noWrap w:val="0"/>
            <w:vAlign w:val="top"/>
          </w:tcPr>
          <w:p w14:paraId="6494CD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截至2025年末，参选机构注册资本金（分支机构以总公司数据为准）：200亿元及以上得3分；100亿元及以上、200亿元以下得2分；100亿元以下得1分。</w:t>
            </w:r>
          </w:p>
        </w:tc>
      </w:tr>
      <w:tr w14:paraId="7B8F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top"/>
          </w:tcPr>
          <w:p w14:paraId="60C074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CCB0A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财务状况</w:t>
            </w:r>
          </w:p>
        </w:tc>
        <w:tc>
          <w:tcPr>
            <w:tcW w:w="1170" w:type="dxa"/>
            <w:noWrap w:val="0"/>
            <w:vAlign w:val="center"/>
          </w:tcPr>
          <w:p w14:paraId="577272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3B3BFE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考察近3年（2023—2025）盈利能力：近3年均实现盈利（净利润＞0）得2分，每有一个年度净利润≤0减1分；近3年净利润合计数在所有参选机构中排名第1得2分，第2得1分，第3及以后得0分。数据以经审计财务报表为准。</w:t>
            </w:r>
          </w:p>
        </w:tc>
      </w:tr>
      <w:tr w14:paraId="192A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top"/>
          </w:tcPr>
          <w:p w14:paraId="7A0DBC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08FB169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公司治理与风险评级</w:t>
            </w:r>
          </w:p>
          <w:p w14:paraId="0F60E3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4E6DB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394471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保险系受托人按2025年风险综合评级从高到低排序，第1名得4分，第2名得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分，第3名得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分，第4名及以后得0分；银行系受托人按2025年不良贷款率从低到高排序，同上。需提供经第三方审计的偿付能力报告或年报并加盖公章。</w:t>
            </w:r>
          </w:p>
        </w:tc>
      </w:tr>
      <w:tr w14:paraId="3EA79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top"/>
          </w:tcPr>
          <w:p w14:paraId="5A7B2D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35A49DBF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依法合规经营</w:t>
            </w:r>
          </w:p>
          <w:p w14:paraId="5CFDEC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FA93E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284491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近五年内未因企业年金业务受到人社部等监管部门处罚、通报批评、停止业务开展等类似情形的，得4分；不符合的不得分。需提供监管部门通知、公告及参选机构承诺书。</w:t>
            </w:r>
          </w:p>
        </w:tc>
      </w:tr>
      <w:tr w14:paraId="1032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6" w:type="dxa"/>
            <w:vMerge w:val="restart"/>
            <w:noWrap w:val="0"/>
            <w:vAlign w:val="center"/>
          </w:tcPr>
          <w:p w14:paraId="5F45200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62B5604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FA99DA3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5580CFB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49C5B61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385188B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4313A7F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343222A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54111C2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39C3466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08BFEDB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38D522E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970344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21C631DF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3441A80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4B6907E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1D413AD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08DF0DB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59CC32F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494232C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2EB9BA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272F606A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6FB730D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6A1B95F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AEDF3F1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受托服务经验及业绩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（30分）</w:t>
            </w:r>
          </w:p>
          <w:p w14:paraId="22E9DA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DCF2466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受托业务经营年限</w:t>
            </w:r>
          </w:p>
          <w:p w14:paraId="1EBD64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679A2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096" w:type="dxa"/>
            <w:noWrap w:val="0"/>
            <w:vAlign w:val="top"/>
          </w:tcPr>
          <w:p w14:paraId="627A04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获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得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年金受托管理资格满15年（含）得2分；不满15年得1分。</w:t>
            </w:r>
          </w:p>
        </w:tc>
      </w:tr>
      <w:tr w14:paraId="006D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62F501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321D290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年金资格牌照</w:t>
            </w:r>
          </w:p>
          <w:p w14:paraId="722A82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3634E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096" w:type="dxa"/>
            <w:noWrap w:val="0"/>
            <w:vAlign w:val="top"/>
          </w:tcPr>
          <w:p w14:paraId="68A951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获得企业年金受托管理人、投资管理人、账户管理人、托管人4项资格得3分；获得3项得1分；获得2项及以下得0分。投资管理人资格含集团下属具有投管人资格的机构。需提供相关证明材料并加盖公章。</w:t>
            </w:r>
          </w:p>
        </w:tc>
      </w:tr>
      <w:tr w14:paraId="127A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716F5A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CF901BB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全国受托管理资产规模</w:t>
            </w:r>
          </w:p>
          <w:p w14:paraId="416A1E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7F32EC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2CBCBD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2025年末受托管理企业年金资产规模（以《全国企业年金基金业务数据摘要》为准）：≥3000亿元得4分；2000亿元（含）—3000亿元得2分；＜2000亿元得1分。</w:t>
            </w:r>
          </w:p>
        </w:tc>
      </w:tr>
      <w:tr w14:paraId="4CCA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2D3D3B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8FBC6E3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云南省内受托管理资产规模</w:t>
            </w:r>
          </w:p>
          <w:p w14:paraId="0F9BCD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07A4F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3A9F81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横向比较各参选机构2025年末云南省内企业年金受托管理资产总规模并排序：第1名得4分，其余按名次依次递减1分；云南省内规模为0的得0分。需提供云南省人社厅通报或数据真实性承诺书。</w:t>
            </w:r>
          </w:p>
        </w:tc>
      </w:tr>
      <w:tr w14:paraId="1D650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6621B6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1245374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受托资产规模增速</w:t>
            </w:r>
          </w:p>
          <w:p w14:paraId="55FC91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432B2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096" w:type="dxa"/>
            <w:noWrap w:val="0"/>
            <w:vAlign w:val="top"/>
          </w:tcPr>
          <w:p w14:paraId="26EA5C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2023—2025年受托管理企业年金资产规模增长率（计算公式：2025年末规模÷2022年末规模－1）：增长率≥80%得5分；60%（含）—80%得3分；＜60%得1分。数据以《全国企业年金基金业务数据摘要》为准并提供截图。</w:t>
            </w:r>
          </w:p>
        </w:tc>
      </w:tr>
      <w:tr w14:paraId="1A8B2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30E33E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53988AA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集合计划综合投资业绩</w:t>
            </w:r>
          </w:p>
          <w:p w14:paraId="3D0F3C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661A9A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2AFF72A6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</w:p>
          <w:p w14:paraId="7C0074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考察近5年（2021—2025）推荐的企业年金集合计划累计综合收益率并排序：第1名得4分，其余按名次依次递减1分。以人社部公布数据和参选机构官网信息披露数据为依据。</w:t>
            </w:r>
          </w:p>
        </w:tc>
      </w:tr>
      <w:tr w14:paraId="39A9B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58C659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45A53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固收类组合投资业绩</w:t>
            </w:r>
          </w:p>
        </w:tc>
        <w:tc>
          <w:tcPr>
            <w:tcW w:w="1170" w:type="dxa"/>
            <w:noWrap w:val="0"/>
            <w:vAlign w:val="center"/>
          </w:tcPr>
          <w:p w14:paraId="43C0CB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2701D0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考察近5年（2021—2025）推荐的集合计划固收类组合累计收益率并排序：第1名得4分，其余按名次依次递减1分。</w:t>
            </w:r>
          </w:p>
        </w:tc>
      </w:tr>
      <w:tr w14:paraId="4DCD3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31AC70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1483399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含权类组合投资业绩</w:t>
            </w:r>
          </w:p>
          <w:p w14:paraId="178FFB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F65F3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5E7ACF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考察近5年（2021—2025）推荐的集合计划含权类组合累计收益率并排序：第1名得4分，其余按名次依次递减1分。</w:t>
            </w:r>
          </w:p>
        </w:tc>
      </w:tr>
      <w:tr w14:paraId="2D970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noWrap w:val="0"/>
            <w:vAlign w:val="center"/>
          </w:tcPr>
          <w:p w14:paraId="1DE9F17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0A05D5A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20F88D8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12CB389F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3DF3B6F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03B30DE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250DBD0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60DE10A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26C7DA7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38A86C6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132E52C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A030EA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1810C0F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44EFC78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68BE84E9">
            <w:pPr>
              <w:keepNext w:val="0"/>
              <w:keepLines w:val="0"/>
              <w:widowControl/>
              <w:suppressLineNumbers w:val="0"/>
              <w:jc w:val="both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62CF37A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932151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4118B1BB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受托管理能力</w:t>
            </w:r>
          </w:p>
          <w:p w14:paraId="177086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20分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  <w:p w14:paraId="0920AE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597055DF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</w:p>
          <w:p w14:paraId="179DE1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D47B847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对其他管理人的选择、监督与评估能力</w:t>
            </w:r>
          </w:p>
          <w:p w14:paraId="28F19D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7DF102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096" w:type="dxa"/>
            <w:noWrap w:val="0"/>
            <w:vAlign w:val="top"/>
          </w:tcPr>
          <w:p w14:paraId="359D02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全面的选择、更换、监督和评估管理人体系，与各管理人具有良好合作基础与经验，具有科学的管理人选择模式和评价体系，建立严格的监督管理制度和专业的绩效评估体系、指标、实施办法及成效。完善且有效得5分；较为完善但有不足得3分；未建立得0分。</w:t>
            </w:r>
          </w:p>
        </w:tc>
      </w:tr>
      <w:tr w14:paraId="37BC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78DC08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C084646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投研及战略资产配置能力</w:t>
            </w:r>
          </w:p>
          <w:p w14:paraId="188CFD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99859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096" w:type="dxa"/>
            <w:noWrap w:val="0"/>
            <w:vAlign w:val="top"/>
          </w:tcPr>
          <w:p w14:paraId="0D71A4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年金战略资产研究和配置体系完善、组织架构合理、决策机制高效得5分；较为完善但有不足得3分；不够完善得1分；未提供得0分。</w:t>
            </w:r>
          </w:p>
        </w:tc>
      </w:tr>
      <w:tr w14:paraId="4AA88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4CD88B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1D5CE90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投资监督能力</w:t>
            </w:r>
          </w:p>
          <w:p w14:paraId="3D784F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F92D4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096" w:type="dxa"/>
            <w:noWrap w:val="0"/>
            <w:vAlign w:val="top"/>
          </w:tcPr>
          <w:p w14:paraId="547183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构建完善的投资监督管理体系，包括投资监督事项拟定、监控、跟踪体系；专业投监团队；养老金产品评估标准及优质产品池；非标产品和养老金产品研究分析报告；组合投资指标预警监控和止损体系；信用风险研判和评级体系；独立投资监督系统。评委根据材料详尽完整性和可行性酌情打分0—5分。</w:t>
            </w:r>
          </w:p>
        </w:tc>
      </w:tr>
      <w:tr w14:paraId="7021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5E6AFD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8A92ACC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信息披露能力</w:t>
            </w:r>
          </w:p>
          <w:p w14:paraId="23D9E2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AE738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096" w:type="dxa"/>
            <w:noWrap w:val="0"/>
            <w:vAlign w:val="top"/>
          </w:tcPr>
          <w:p w14:paraId="24789A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明确信息披露种类、内容、方式及周期；能提供法规以外的信息披露服务；能满足企业个性化需求。评委酌情打分0—2分。</w:t>
            </w:r>
          </w:p>
        </w:tc>
      </w:tr>
      <w:tr w14:paraId="6461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3CDF33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3339630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属地化服务能力</w:t>
            </w:r>
          </w:p>
          <w:p w14:paraId="7EA35C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F16A3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096" w:type="dxa"/>
            <w:noWrap w:val="0"/>
            <w:vAlign w:val="top"/>
          </w:tcPr>
          <w:p w14:paraId="483F8A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在云南省及委托人所在地设有分支机构可提供属地化服务，配备属地化服务团队，运营处理链条短、响应快。表现优秀得3分；部分满足得1—2分；不能提供属地化服务得0分。需提供云南省内分支机构营业执照作为证明材料。</w:t>
            </w:r>
          </w:p>
        </w:tc>
      </w:tr>
      <w:tr w14:paraId="605E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noWrap w:val="0"/>
            <w:vAlign w:val="center"/>
          </w:tcPr>
          <w:p w14:paraId="522CE578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受托风险控制能力（10分）</w:t>
            </w:r>
          </w:p>
          <w:p w14:paraId="2495B1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397D46C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风险管控体系及制度</w:t>
            </w:r>
          </w:p>
          <w:p w14:paraId="66E179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EA291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096" w:type="dxa"/>
            <w:noWrap w:val="0"/>
            <w:vAlign w:val="top"/>
          </w:tcPr>
          <w:p w14:paraId="7C6B66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立完善的企业年金风险管理受托管理体系，能够区别对待年金运营风险和投资风险，建立事前、事中、事后全流程风控制度和流程，明确相关风险点并有效防范，确保年金安全前提下保值增值。科学合理得6分；较为完善但有不足得4分；有体系但缺陷较多得2分；无法满足业务需要或未提供得0分。</w:t>
            </w:r>
          </w:p>
        </w:tc>
      </w:tr>
      <w:tr w14:paraId="0C8C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2347D20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9E503BE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基金损失追偿与纠错机制</w:t>
            </w:r>
          </w:p>
          <w:p w14:paraId="7B52B2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20CC0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096" w:type="dxa"/>
            <w:noWrap w:val="0"/>
            <w:vAlign w:val="top"/>
          </w:tcPr>
          <w:p w14:paraId="48181F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具有明确的基金损失追偿机制和纠错机制，危机处理能力强，对受益人保障程度高得2分；机制明确但能力一般得1分；无相关机制得0分。</w:t>
            </w:r>
          </w:p>
        </w:tc>
      </w:tr>
      <w:tr w14:paraId="04C28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4BBADA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87816BE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数据安全和灾备能力</w:t>
            </w:r>
          </w:p>
          <w:p w14:paraId="65AD30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DED07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096" w:type="dxa"/>
            <w:noWrap w:val="0"/>
            <w:vAlign w:val="top"/>
          </w:tcPr>
          <w:p w14:paraId="756780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具备完善的数据灾备体系，建立3个（含）以上异地数据灾备中心得2分；建立2个数据灾备中心得1分；无异地灾备中心得0分。</w:t>
            </w:r>
          </w:p>
        </w:tc>
      </w:tr>
      <w:tr w14:paraId="26F5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noWrap w:val="0"/>
            <w:vAlign w:val="center"/>
          </w:tcPr>
          <w:p w14:paraId="14F5DF41"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受托服务能力（15分）</w:t>
            </w:r>
          </w:p>
          <w:p w14:paraId="469A93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5FBBD73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</w:p>
          <w:p w14:paraId="4A724A23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受托管理系统</w:t>
            </w:r>
          </w:p>
          <w:p w14:paraId="5ADF38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A7692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4CB62D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拥有自主开发的供委托人使用的年金运营管理信息系统，安全性高、功能强大，已在多家企业使用，便于操作、反馈良好，可快速满足客户个性化需要得4分；购买第三方系统且已在多家企业使用但不能快速响应个性化需要得2分；购买第三方系统且功能一般得1分。</w:t>
            </w:r>
          </w:p>
        </w:tc>
      </w:tr>
      <w:tr w14:paraId="5752A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6927B2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F17BF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受托运营能力</w:t>
            </w:r>
          </w:p>
        </w:tc>
        <w:tc>
          <w:tcPr>
            <w:tcW w:w="1170" w:type="dxa"/>
            <w:noWrap w:val="0"/>
            <w:vAlign w:val="center"/>
          </w:tcPr>
          <w:p w14:paraId="50AC3D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6D9B5F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有清晰明确的受托运作流程，掌握运作关键点；有明确的受托管理服务标准及服务时效标准；可应委托人需要灵活安排受托运营并提供延伸服务。评委根据材料详尽完整性和可行性酌情打分0—4分。</w:t>
            </w:r>
          </w:p>
        </w:tc>
      </w:tr>
      <w:tr w14:paraId="3E5AC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1B1719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15005F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项目团队配置及服务机制</w:t>
            </w:r>
          </w:p>
        </w:tc>
        <w:tc>
          <w:tcPr>
            <w:tcW w:w="1170" w:type="dxa"/>
            <w:noWrap w:val="0"/>
            <w:vAlign w:val="center"/>
          </w:tcPr>
          <w:p w14:paraId="2C9B7E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096" w:type="dxa"/>
            <w:noWrap w:val="0"/>
            <w:vAlign w:val="top"/>
          </w:tcPr>
          <w:p w14:paraId="1E3BFC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配置属地专属服务团队且服务人员经验丰富得3—4分；配置属地专属服务团队但经验一般得1—2分；未配置属地专属服务团队得0分。</w:t>
            </w:r>
          </w:p>
        </w:tc>
      </w:tr>
      <w:tr w14:paraId="388C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noWrap w:val="0"/>
            <w:vAlign w:val="center"/>
          </w:tcPr>
          <w:p w14:paraId="6D5DC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04759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增值服务</w:t>
            </w:r>
          </w:p>
        </w:tc>
        <w:tc>
          <w:tcPr>
            <w:tcW w:w="1170" w:type="dxa"/>
            <w:noWrap w:val="0"/>
            <w:vAlign w:val="center"/>
          </w:tcPr>
          <w:p w14:paraId="14FCA5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096" w:type="dxa"/>
            <w:noWrap w:val="0"/>
            <w:vAlign w:val="top"/>
          </w:tcPr>
          <w:p w14:paraId="541231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能提供丰富的年金增值服务，涵盖单位及职工的全方位综合金融增值服务，方案切实可行得2—3分；能提供增值服务但针对性不强得1分；无增值服务得0分。</w:t>
            </w:r>
          </w:p>
        </w:tc>
      </w:tr>
    </w:tbl>
    <w:p w14:paraId="0952469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9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2026-08-19T01:14:50Z</dcterms:created>
  <dc:creator>lenovo</dc:creator>
  <cp:lastModifiedBy>wuli胖胖呐</cp:lastModifiedBy>
  <dcterms:modified xsi:type="dcterms:W3CDTF">2026-08-19T01:16:40Z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eyJoZGlkIjoiODM1MDlmZDk2MDI5NmE1MGUzYTM1MjQ0ZDFiZmU2MGEiLCJ1c2VySWQiOiIyODg4MTY3ODgifQ==</vt:lpwstr>
  </property>
  <property fmtid="{D5CDD505-2E9C-101B-9397-08002B2CF9AE}" pid="4" name="ICV">
    <vt:lpwstr>E88FBEEACB524F998DE5654BF7E9DCD9_12</vt:lpwstr>
  </property>
</Properties>
</file>